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B1DC" w14:textId="77777777" w:rsidR="000330CB" w:rsidRDefault="0063607C">
      <w:pPr>
        <w:spacing w:beforeAutospacing="1" w:afterAutospacing="1" w:line="240" w:lineRule="atLeast"/>
        <w:jc w:val="center"/>
        <w:rPr>
          <w:rFonts w:eastAsia="Times New Roman" w:cstheme="minorHAnsi"/>
          <w:b/>
          <w:sz w:val="40"/>
          <w:szCs w:val="28"/>
          <w:lang w:val="en-US" w:eastAsia="de-DE"/>
        </w:rPr>
      </w:pPr>
      <w:r>
        <w:rPr>
          <w:rFonts w:eastAsia="Times New Roman" w:cstheme="minorHAnsi"/>
          <w:b/>
          <w:sz w:val="40"/>
          <w:szCs w:val="28"/>
          <w:lang w:val="en-US" w:eastAsia="de-DE"/>
        </w:rPr>
        <w:t>English-German Colloquium in New Testament</w:t>
      </w:r>
    </w:p>
    <w:p w14:paraId="555AB6B8" w14:textId="2B4E641C" w:rsidR="000330CB" w:rsidRPr="0063607C" w:rsidRDefault="4442B8E4" w:rsidP="4442B8E4">
      <w:pPr>
        <w:spacing w:beforeAutospacing="1" w:afterAutospacing="1" w:line="240" w:lineRule="atLeast"/>
        <w:jc w:val="both"/>
        <w:rPr>
          <w:lang w:val="en-GB"/>
        </w:rPr>
      </w:pPr>
      <w:r w:rsidRPr="4442B8E4">
        <w:rPr>
          <w:rFonts w:eastAsia="Times New Roman"/>
          <w:sz w:val="32"/>
          <w:szCs w:val="32"/>
          <w:lang w:val="en-US" w:eastAsia="de-DE"/>
        </w:rPr>
        <w:t>Winter semester 2020-2021</w:t>
      </w:r>
    </w:p>
    <w:tbl>
      <w:tblPr>
        <w:tblW w:w="1083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59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3804"/>
        <w:gridCol w:w="5412"/>
        <w:gridCol w:w="11"/>
        <w:gridCol w:w="31"/>
      </w:tblGrid>
      <w:tr w:rsidR="000330CB" w14:paraId="3441E020" w14:textId="77777777" w:rsidTr="0BEFCD44">
        <w:trPr>
          <w:gridAfter w:val="1"/>
          <w:wAfter w:w="31" w:type="dxa"/>
          <w:trHeight w:val="411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509DCC3" w14:textId="77777777" w:rsidR="000330CB" w:rsidRDefault="4442B8E4" w:rsidP="4442B8E4">
            <w:pPr>
              <w:spacing w:beforeAutospacing="1" w:afterAutospacing="1" w:line="240" w:lineRule="auto"/>
              <w:jc w:val="both"/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</w:pPr>
            <w:r w:rsidRPr="4442B8E4"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  <w:t>Date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642C094" w14:textId="77777777" w:rsidR="000330CB" w:rsidRDefault="4442B8E4" w:rsidP="4442B8E4">
            <w:pPr>
              <w:spacing w:beforeAutospacing="1" w:afterAutospacing="1" w:line="240" w:lineRule="auto"/>
              <w:jc w:val="both"/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</w:pPr>
            <w:r w:rsidRPr="4442B8E4"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  <w:t>Name</w:t>
            </w: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D82D83B" w14:textId="77777777" w:rsidR="000330CB" w:rsidRDefault="4442B8E4" w:rsidP="4442B8E4">
            <w:pPr>
              <w:spacing w:beforeAutospacing="1" w:afterAutospacing="1" w:line="240" w:lineRule="auto"/>
              <w:jc w:val="both"/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</w:pPr>
            <w:r w:rsidRPr="4442B8E4"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  <w:t>Topic/</w:t>
            </w:r>
            <w:proofErr w:type="spellStart"/>
            <w:r w:rsidRPr="4442B8E4">
              <w:rPr>
                <w:rFonts w:eastAsia="Times New Roman" w:cs="Lucida Sans Unicode"/>
                <w:b/>
                <w:bCs/>
                <w:sz w:val="28"/>
                <w:szCs w:val="28"/>
                <w:lang w:val="en-US" w:eastAsia="de-DE"/>
              </w:rPr>
              <w:t>Titel</w:t>
            </w:r>
            <w:proofErr w:type="spellEnd"/>
          </w:p>
        </w:tc>
      </w:tr>
      <w:tr w:rsidR="000330CB" w:rsidRPr="00A15A5A" w14:paraId="0082152E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8F3204F" w14:textId="187205E8" w:rsidR="000330CB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03.11.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A4B5979" w14:textId="32FAB24F" w:rsidR="000330CB" w:rsidRPr="00123712" w:rsidRDefault="000330CB" w:rsidP="4442B8E4">
            <w:pPr>
              <w:tabs>
                <w:tab w:val="left" w:pos="1021"/>
              </w:tabs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24E3AF2" w14:textId="0B6168B6" w:rsidR="000330CB" w:rsidRPr="00123712" w:rsidRDefault="000330CB" w:rsidP="4442B8E4">
            <w:pPr>
              <w:tabs>
                <w:tab w:val="left" w:pos="1021"/>
              </w:tabs>
              <w:spacing w:beforeAutospacing="1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30CB" w:rsidRPr="00A15A5A" w14:paraId="1108756B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0B03AD1" w14:textId="4AF7DA2E" w:rsidR="000330CB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10.11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C0F0C89" w14:textId="2C09ECF0" w:rsidR="000330CB" w:rsidRPr="00B726E8" w:rsidRDefault="72558D4B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72558D4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Pierre Schmid</w:t>
            </w: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C775EF6" w14:textId="4F3719D8" w:rsidR="000330CB" w:rsidRPr="00AB6298" w:rsidRDefault="00AD459F" w:rsidP="4442B8E4">
            <w:pPr>
              <w:spacing w:beforeAutospacing="1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D4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Zwischenweltsvorstellungen</w:t>
            </w:r>
            <w:proofErr w:type="spellEnd"/>
            <w:r w:rsidRPr="00AD4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der Antike</w:t>
            </w:r>
          </w:p>
        </w:tc>
      </w:tr>
      <w:tr w:rsidR="000330CB" w:rsidRPr="00A15A5A" w14:paraId="48AEA906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3F6B9FB" w14:textId="0CA9C553" w:rsidR="000330CB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17.11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F03F9CD" w14:textId="18F09436" w:rsidR="000330CB" w:rsidRPr="00123712" w:rsidRDefault="000330CB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A729661" w14:textId="4BC9DA34" w:rsidR="000330CB" w:rsidRPr="00327C76" w:rsidRDefault="000330CB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1E82" w:rsidRPr="002F0165" w14:paraId="4B33D1B8" w14:textId="77777777" w:rsidTr="0BEFCD44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E20242B" w14:textId="7487AE81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24.11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687DC381" w14:textId="1A81349A" w:rsidR="00A21E82" w:rsidRPr="00046DF9" w:rsidRDefault="1CE4D069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1CE4D069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Daniel Schumann</w:t>
            </w:r>
          </w:p>
        </w:tc>
        <w:tc>
          <w:tcPr>
            <w:tcW w:w="545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</w:tcPr>
          <w:p w14:paraId="76D079B9" w14:textId="4627CE3A" w:rsidR="00A21E82" w:rsidRPr="00046DF9" w:rsidRDefault="002F0165" w:rsidP="002F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2F0165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Methodological considerations for discourse analysis illustrated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  <w:r w:rsidRPr="002F0165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with example of the Jewish prohibitive vow</w:t>
            </w:r>
          </w:p>
        </w:tc>
      </w:tr>
      <w:tr w:rsidR="008E3D85" w:rsidRPr="00B726E8" w14:paraId="5A035796" w14:textId="77777777" w:rsidTr="0BEFCD44">
        <w:trPr>
          <w:gridAfter w:val="2"/>
          <w:wAfter w:w="42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D796918" w14:textId="07E90C57" w:rsidR="008E3D85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01.12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6D53147" w14:textId="2C300644" w:rsidR="008E3D85" w:rsidRDefault="008E3D85" w:rsidP="4442B8E4">
            <w:pPr>
              <w:spacing w:beforeAutospacing="1" w:afterAutospacing="1" w:line="240" w:lineRule="auto"/>
              <w:ind w:left="-163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7BB90A79" w14:textId="317F7DD0" w:rsidR="008E3D85" w:rsidRPr="008E3D85" w:rsidRDefault="008E3D85" w:rsidP="4442B8E4">
            <w:pPr>
              <w:spacing w:beforeAutospacing="1" w:afterAutospacing="1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B57EE" w:rsidRPr="00B726E8" w14:paraId="449ED529" w14:textId="77777777" w:rsidTr="0BEFCD44">
        <w:trPr>
          <w:gridAfter w:val="2"/>
          <w:wAfter w:w="42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168CC47" w14:textId="73615E5C" w:rsidR="001B57EE" w:rsidRPr="005C5861" w:rsidRDefault="4442B8E4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08.12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C490CBB" w14:textId="39FEB0DC" w:rsidR="001B57EE" w:rsidRDefault="0BEFCD44" w:rsidP="00F83084">
            <w:pPr>
              <w:tabs>
                <w:tab w:val="center" w:pos="954"/>
              </w:tabs>
              <w:spacing w:beforeAutospacing="1" w:afterAutospacing="1" w:line="240" w:lineRule="auto"/>
              <w:ind w:left="-163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BEFC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Michael </w:t>
            </w:r>
            <w:proofErr w:type="spellStart"/>
            <w:r w:rsidRPr="0BEFC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Tilly</w:t>
            </w:r>
            <w:r w:rsid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MiM</w:t>
            </w:r>
            <w:r w:rsidR="00F830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ichael</w:t>
            </w:r>
            <w:proofErr w:type="spellEnd"/>
            <w:r w:rsidR="00F8308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Tilly</w:t>
            </w:r>
          </w:p>
          <w:p w14:paraId="6C71A086" w14:textId="3654BFA6" w:rsidR="00F83084" w:rsidRPr="00F83084" w:rsidRDefault="00F83084" w:rsidP="00F83084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43CBC0E2" w14:textId="5ED9C7B1" w:rsidR="001B57EE" w:rsidRPr="008E3D85" w:rsidRDefault="0BEFCD44" w:rsidP="0BEFCD44">
            <w:pPr>
              <w:spacing w:beforeAutospacing="1" w:afterAutospacing="1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BEFC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Zukunftshoffnung und Gegenwartsdeutung – Prophetie und Apokalyptik im antiken Judentum und im Neuen Testament (Same link)</w:t>
            </w:r>
          </w:p>
          <w:p w14:paraId="5E2821A0" w14:textId="186E3949" w:rsidR="001B57EE" w:rsidRPr="008E3D85" w:rsidRDefault="001B57EE" w:rsidP="0BEFCD44">
            <w:pPr>
              <w:spacing w:beforeAutospacing="1" w:afterAutospacing="1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1E82" w:rsidRPr="00566806" w14:paraId="1232C495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8899333" w14:textId="14163B00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15.12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FDE5EA0" w14:textId="028462ED" w:rsidR="00A21E82" w:rsidRPr="00CA7FBD" w:rsidRDefault="00A21E82" w:rsidP="4442B8E4">
            <w:pPr>
              <w:spacing w:beforeAutospacing="1" w:afterAutospacing="1" w:line="240" w:lineRule="auto"/>
              <w:ind w:left="-163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041D4D1" w14:textId="4A3C332F" w:rsidR="00A21E82" w:rsidRPr="00CA7FBD" w:rsidRDefault="00A21E82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1E82" w:rsidRPr="00566806" w14:paraId="52B01B7A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32FA764" w14:textId="21E8400F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22.12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0DD21CF" w14:textId="7BD7B88D" w:rsidR="00A21E82" w:rsidRPr="00B726E8" w:rsidRDefault="4442B8E4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Claudia Bergmann</w:t>
            </w: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F91256A" w14:textId="0E553C69" w:rsidR="00C836CF" w:rsidRPr="00C836CF" w:rsidRDefault="00C836CF" w:rsidP="00C83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 Dry World? The Lack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of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Beverages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Ancient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Jewish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Texts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about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Meal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World </w:t>
            </w:r>
            <w:proofErr w:type="spellStart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</w:t>
            </w:r>
            <w:proofErr w:type="spellEnd"/>
            <w:r w:rsidRPr="00C836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Come </w:t>
            </w:r>
          </w:p>
          <w:p w14:paraId="22A2E2D7" w14:textId="3DE241EA" w:rsidR="00A21E82" w:rsidRPr="00B726E8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  <w:tr w:rsidR="00A21E82" w:rsidRPr="00B726E8" w14:paraId="17594DE7" w14:textId="77777777" w:rsidTr="0BEFCD44">
        <w:trPr>
          <w:trHeight w:val="567"/>
          <w:jc w:val="center"/>
        </w:trPr>
        <w:tc>
          <w:tcPr>
            <w:tcW w:w="10833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5B3D7" w:themeFill="accent1" w:themeFillTint="99"/>
            <w:tcMar>
              <w:left w:w="59" w:type="dxa"/>
            </w:tcMar>
          </w:tcPr>
          <w:p w14:paraId="33A7AE13" w14:textId="7B28A50B" w:rsidR="00A21E82" w:rsidRPr="004159C8" w:rsidRDefault="4442B8E4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Weihnachtsferien/Christmas Break</w:t>
            </w:r>
          </w:p>
        </w:tc>
      </w:tr>
      <w:tr w:rsidR="00A21E82" w:rsidRPr="00B726E8" w14:paraId="4B7CB7AD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22F8C9B" w14:textId="6E08B32F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12.01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56C9790" w14:textId="77777777" w:rsidR="00541E7A" w:rsidRPr="00541E7A" w:rsidRDefault="00541E7A" w:rsidP="00541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541E7A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Christoph Lehmann</w:t>
            </w:r>
          </w:p>
          <w:p w14:paraId="2B6F1E91" w14:textId="57E7F050" w:rsidR="00A21E82" w:rsidRPr="0040286E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E7D1442" w14:textId="5329DB20" w:rsidR="00A21E82" w:rsidRPr="00541E7A" w:rsidRDefault="00541E7A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1E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Zur </w:t>
            </w:r>
            <w:proofErr w:type="spellStart"/>
            <w:r w:rsidRPr="00541E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Adressatenschaft</w:t>
            </w:r>
            <w:proofErr w:type="spellEnd"/>
            <w:r w:rsidRPr="00541E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des Galaterbriefes - Erneuter Blick auf einen alten Streit</w:t>
            </w:r>
          </w:p>
        </w:tc>
      </w:tr>
      <w:tr w:rsidR="00A21E82" w:rsidRPr="00B726E8" w14:paraId="70891CE9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3E54F5B" w14:textId="45F4E275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2F8ED80" w14:textId="3721F51A" w:rsidR="00A21E82" w:rsidRPr="00B726E8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7C096C1" w14:textId="311CC0EC" w:rsidR="00A21E82" w:rsidRPr="00C968FC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1E82" w:rsidRPr="00A15A5A" w14:paraId="4FD59724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0930DFC1" w14:textId="4ECEE221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26.01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7B575F21" w14:textId="3F7B2A2F" w:rsidR="00A21E82" w:rsidRPr="00B726E8" w:rsidRDefault="00AC3FB1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Lucas Ogden</w:t>
            </w: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26C87708" w14:textId="409C06C7" w:rsidR="00A21E82" w:rsidRPr="00566806" w:rsidRDefault="00A74104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7410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Historische Kriterien auf dem Prüfstand: Der „historische Paulus“ als Vorbild für die Jesusforschung</w:t>
            </w:r>
          </w:p>
        </w:tc>
      </w:tr>
      <w:tr w:rsidR="00A21E82" w:rsidRPr="00B726E8" w14:paraId="7F2A4DDE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A89B61A" w14:textId="0338F6FD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02.02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5695EF5" w14:textId="5498DCE6" w:rsidR="00A21E82" w:rsidRPr="00B726E8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B10F2A2" w14:textId="789492C7" w:rsidR="00A21E82" w:rsidRPr="00B726E8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1E82" w:rsidRPr="00F00531" w14:paraId="6CB2EC42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922C469" w14:textId="1DE7A4DE" w:rsidR="00A21E82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09.02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01B765D" w14:textId="22A057D8" w:rsidR="00A21E82" w:rsidRPr="00B726E8" w:rsidRDefault="002F0165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Dennis Lindsay</w:t>
            </w: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87EE238" w14:textId="1D597C56" w:rsidR="00A21E82" w:rsidRPr="0040286E" w:rsidRDefault="00A21E82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  <w:tr w:rsidR="00911219" w:rsidRPr="00F00531" w14:paraId="34E3830B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204C86F" w14:textId="295F3985" w:rsidR="00911219" w:rsidRPr="007675D2" w:rsidRDefault="4442B8E4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4442B8E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16.02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C8A1028" w14:textId="496D3731" w:rsidR="00911219" w:rsidRPr="00B726E8" w:rsidRDefault="00911219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79AB375" w14:textId="77777777" w:rsidR="00911219" w:rsidRPr="0040286E" w:rsidRDefault="00911219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  <w:tr w:rsidR="00911219" w:rsidRPr="00F00531" w14:paraId="45E0471B" w14:textId="77777777" w:rsidTr="0BEFCD44">
        <w:trPr>
          <w:gridAfter w:val="1"/>
          <w:wAfter w:w="31" w:type="dxa"/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7271A49" w14:textId="7C33F814" w:rsidR="00911219" w:rsidRPr="004159C8" w:rsidRDefault="4442B8E4" w:rsidP="4442B8E4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</w:pPr>
            <w:r w:rsidRPr="4442B8E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23.02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2281B77" w14:textId="75CE4561" w:rsidR="00911219" w:rsidRPr="00B726E8" w:rsidRDefault="002F0165" w:rsidP="4442B8E4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Matthew Pawlak</w:t>
            </w:r>
          </w:p>
        </w:tc>
        <w:tc>
          <w:tcPr>
            <w:tcW w:w="54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7B27FDE" w14:textId="77777777" w:rsidR="00911219" w:rsidRPr="0040286E" w:rsidRDefault="00911219" w:rsidP="4442B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</w:tbl>
    <w:p w14:paraId="4C2964B1" w14:textId="45DB66D1" w:rsidR="00CA6C4F" w:rsidRPr="0040286E" w:rsidRDefault="00CA6C4F" w:rsidP="4442B8E4">
      <w:pPr>
        <w:jc w:val="both"/>
        <w:rPr>
          <w:lang w:val="en-US"/>
        </w:rPr>
      </w:pPr>
    </w:p>
    <w:sectPr w:rsidR="00CA6C4F" w:rsidRPr="0040286E" w:rsidSect="000B3D3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B"/>
    <w:rsid w:val="00013280"/>
    <w:rsid w:val="00030F26"/>
    <w:rsid w:val="000330CB"/>
    <w:rsid w:val="00046DF9"/>
    <w:rsid w:val="00063B60"/>
    <w:rsid w:val="0007466D"/>
    <w:rsid w:val="000B3D3E"/>
    <w:rsid w:val="000D16B6"/>
    <w:rsid w:val="00106E12"/>
    <w:rsid w:val="00123712"/>
    <w:rsid w:val="001B57EE"/>
    <w:rsid w:val="00233821"/>
    <w:rsid w:val="002446E8"/>
    <w:rsid w:val="002A7149"/>
    <w:rsid w:val="002F0165"/>
    <w:rsid w:val="002F2D15"/>
    <w:rsid w:val="00327C76"/>
    <w:rsid w:val="003D1712"/>
    <w:rsid w:val="003D3BD7"/>
    <w:rsid w:val="003E0105"/>
    <w:rsid w:val="003E2201"/>
    <w:rsid w:val="0040286E"/>
    <w:rsid w:val="004159C8"/>
    <w:rsid w:val="00512938"/>
    <w:rsid w:val="00541E7A"/>
    <w:rsid w:val="00544FD6"/>
    <w:rsid w:val="00566806"/>
    <w:rsid w:val="005C5861"/>
    <w:rsid w:val="005D39FF"/>
    <w:rsid w:val="005D4D17"/>
    <w:rsid w:val="0063607C"/>
    <w:rsid w:val="0067683E"/>
    <w:rsid w:val="006A7E64"/>
    <w:rsid w:val="006F5EAA"/>
    <w:rsid w:val="007675D2"/>
    <w:rsid w:val="00785AD3"/>
    <w:rsid w:val="00837497"/>
    <w:rsid w:val="00874330"/>
    <w:rsid w:val="008770FF"/>
    <w:rsid w:val="008B3CCE"/>
    <w:rsid w:val="008E3D85"/>
    <w:rsid w:val="00907668"/>
    <w:rsid w:val="00911219"/>
    <w:rsid w:val="00933A9D"/>
    <w:rsid w:val="00947538"/>
    <w:rsid w:val="009C0C3D"/>
    <w:rsid w:val="00A15A5A"/>
    <w:rsid w:val="00A21E82"/>
    <w:rsid w:val="00A3237C"/>
    <w:rsid w:val="00A542C7"/>
    <w:rsid w:val="00A74104"/>
    <w:rsid w:val="00A91F30"/>
    <w:rsid w:val="00AB6298"/>
    <w:rsid w:val="00AC3FB1"/>
    <w:rsid w:val="00AD459F"/>
    <w:rsid w:val="00B726E8"/>
    <w:rsid w:val="00BC37E2"/>
    <w:rsid w:val="00BE3997"/>
    <w:rsid w:val="00BF606E"/>
    <w:rsid w:val="00C836CF"/>
    <w:rsid w:val="00C92A36"/>
    <w:rsid w:val="00C968FC"/>
    <w:rsid w:val="00CA6C4F"/>
    <w:rsid w:val="00CA7FBD"/>
    <w:rsid w:val="00D4272F"/>
    <w:rsid w:val="00D73D67"/>
    <w:rsid w:val="00D92CED"/>
    <w:rsid w:val="00DA4DF9"/>
    <w:rsid w:val="00DB0AD8"/>
    <w:rsid w:val="00DB3F45"/>
    <w:rsid w:val="00DE4F0F"/>
    <w:rsid w:val="00E663F0"/>
    <w:rsid w:val="00ED6CCA"/>
    <w:rsid w:val="00EE3D31"/>
    <w:rsid w:val="00EE7F29"/>
    <w:rsid w:val="00F00531"/>
    <w:rsid w:val="00F83084"/>
    <w:rsid w:val="00F84640"/>
    <w:rsid w:val="0BEFCD44"/>
    <w:rsid w:val="0CA31948"/>
    <w:rsid w:val="1BFFE3B2"/>
    <w:rsid w:val="1CE4D069"/>
    <w:rsid w:val="25E6F67E"/>
    <w:rsid w:val="4442B8E4"/>
    <w:rsid w:val="6FF3BE2E"/>
    <w:rsid w:val="7255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3EA"/>
  <w15:docId w15:val="{4D1D7C6E-D697-416E-80EF-8D484E9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65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B918F9"/>
    <w:rPr>
      <w:rFonts w:ascii="Consolas" w:hAnsi="Consolas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B918F9"/>
    <w:pPr>
      <w:spacing w:after="0" w:line="240" w:lineRule="auto"/>
    </w:pPr>
    <w:rPr>
      <w:rFonts w:ascii="Consolas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Langstaff</dc:creator>
  <dc:description/>
  <cp:lastModifiedBy>bihallmann bihallmann</cp:lastModifiedBy>
  <cp:revision>21</cp:revision>
  <cp:lastPrinted>2019-07-23T16:51:00Z</cp:lastPrinted>
  <dcterms:created xsi:type="dcterms:W3CDTF">2020-08-28T07:47:00Z</dcterms:created>
  <dcterms:modified xsi:type="dcterms:W3CDTF">2021-01-20T08:05:00Z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